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DE9AD" w14:textId="3A83309C" w:rsidR="00987D00" w:rsidRPr="00987D00" w:rsidRDefault="00E16EAA" w:rsidP="00E16EAA">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#120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22</w:t>
      </w:r>
      <w:r w:rsidR="00987D00">
        <w:rPr>
          <w:bCs/>
          <w:noProof w:val="0"/>
          <w:sz w:val="24"/>
          <w:szCs w:val="24"/>
        </w:rPr>
        <w:t>11970</w:t>
      </w:r>
    </w:p>
    <w:p w14:paraId="3D504CE4" w14:textId="0D52C894" w:rsidR="00E16EAA" w:rsidRPr="00465587" w:rsidRDefault="00E16EAA" w:rsidP="00E16EAA">
      <w:pPr>
        <w:pStyle w:val="Header"/>
        <w:tabs>
          <w:tab w:val="right" w:pos="9639"/>
        </w:tabs>
        <w:rPr>
          <w:rFonts w:eastAsia="SimSun"/>
          <w:bCs/>
          <w:sz w:val="24"/>
          <w:szCs w:val="24"/>
          <w:lang w:eastAsia="zh-CN"/>
        </w:rPr>
      </w:pPr>
      <w:r>
        <w:rPr>
          <w:rFonts w:eastAsia="SimSun"/>
          <w:bCs/>
          <w:sz w:val="24"/>
          <w:szCs w:val="24"/>
          <w:lang w:eastAsia="zh-CN"/>
        </w:rPr>
        <w:t>Toulouse, France</w:t>
      </w:r>
      <w:r w:rsidRPr="00A36F5F">
        <w:rPr>
          <w:rFonts w:eastAsia="SimSun"/>
          <w:bCs/>
          <w:sz w:val="24"/>
          <w:szCs w:val="24"/>
          <w:lang w:eastAsia="zh-CN"/>
        </w:rPr>
        <w:t xml:space="preserve">, </w:t>
      </w:r>
      <w:r>
        <w:rPr>
          <w:rFonts w:eastAsia="SimSun"/>
          <w:bCs/>
          <w:sz w:val="24"/>
          <w:szCs w:val="24"/>
          <w:lang w:eastAsia="zh-CN"/>
        </w:rPr>
        <w:t>14</w:t>
      </w:r>
      <w:r w:rsidRPr="005C7CD5">
        <w:rPr>
          <w:rFonts w:eastAsia="SimSun"/>
          <w:bCs/>
          <w:sz w:val="24"/>
          <w:szCs w:val="24"/>
          <w:lang w:eastAsia="zh-CN"/>
        </w:rPr>
        <w:t xml:space="preserve"> – </w:t>
      </w:r>
      <w:r>
        <w:rPr>
          <w:rFonts w:eastAsia="SimSun"/>
          <w:bCs/>
          <w:sz w:val="24"/>
          <w:szCs w:val="24"/>
          <w:lang w:eastAsia="zh-CN"/>
        </w:rPr>
        <w:t>18</w:t>
      </w:r>
      <w:r w:rsidRPr="005C7CD5">
        <w:rPr>
          <w:rFonts w:eastAsia="SimSun"/>
          <w:bCs/>
          <w:sz w:val="24"/>
          <w:szCs w:val="24"/>
          <w:lang w:eastAsia="zh-CN"/>
        </w:rPr>
        <w:t xml:space="preserve"> </w:t>
      </w:r>
      <w:r>
        <w:rPr>
          <w:rFonts w:eastAsia="SimSun"/>
          <w:bCs/>
          <w:sz w:val="24"/>
          <w:szCs w:val="24"/>
          <w:lang w:eastAsia="zh-CN"/>
        </w:rPr>
        <w:t>November</w:t>
      </w:r>
      <w:r w:rsidRPr="005C7CD5">
        <w:rPr>
          <w:rFonts w:eastAsia="SimSun"/>
          <w:bCs/>
          <w:sz w:val="24"/>
          <w:szCs w:val="24"/>
          <w:lang w:eastAsia="zh-CN"/>
        </w:rPr>
        <w:t xml:space="preserve"> 2022</w:t>
      </w: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840EAC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05AD3">
        <w:rPr>
          <w:rFonts w:cs="Arial"/>
          <w:b/>
          <w:bCs/>
          <w:sz w:val="24"/>
          <w:lang w:eastAsia="ja-JP"/>
        </w:rPr>
        <w:t>8.10.3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32FCBB0"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82533">
        <w:rPr>
          <w:rFonts w:ascii="Arial" w:hAnsi="Arial" w:cs="Arial"/>
          <w:b/>
          <w:bCs/>
          <w:sz w:val="24"/>
        </w:rPr>
        <w:t>TDM Assistance Information for IDC</w:t>
      </w:r>
    </w:p>
    <w:p w14:paraId="25F387E8" w14:textId="38B69BB8"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61124" w:rsidRPr="00961124">
        <w:rPr>
          <w:rFonts w:ascii="Arial" w:hAnsi="Arial" w:cs="Arial"/>
          <w:b/>
          <w:bCs/>
          <w:sz w:val="24"/>
        </w:rPr>
        <w:t>NR_IDC_enh</w:t>
      </w:r>
      <w:proofErr w:type="spellEnd"/>
      <w:r w:rsidR="00961124" w:rsidRPr="00961124">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961124">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787249E2" w:rsidR="009339CB" w:rsidRDefault="00637FF9" w:rsidP="009339CB">
      <w:r>
        <w:t xml:space="preserve">This contribution reviews the TDM assistance information that was specified for LTE </w:t>
      </w:r>
      <w:proofErr w:type="gramStart"/>
      <w:r w:rsidR="00A53BA0">
        <w:t>in order to</w:t>
      </w:r>
      <w:proofErr w:type="gramEnd"/>
      <w:r w:rsidR="00A53BA0">
        <w:t xml:space="preserve"> assess</w:t>
      </w:r>
      <w:r>
        <w:t xml:space="preserve"> what could also be used for NR</w:t>
      </w:r>
      <w:r w:rsidR="00A53BA0">
        <w:t xml:space="preserve"> in Rel-18</w:t>
      </w:r>
      <w:r>
        <w:t>.</w:t>
      </w:r>
    </w:p>
    <w:p w14:paraId="7D484B6E" w14:textId="20A65E17" w:rsidR="009339CB" w:rsidRDefault="009339CB" w:rsidP="009339CB">
      <w:pPr>
        <w:pStyle w:val="Heading1"/>
      </w:pPr>
      <w:r w:rsidRPr="006E13D1">
        <w:t>2</w:t>
      </w:r>
      <w:r w:rsidRPr="006E13D1">
        <w:tab/>
      </w:r>
      <w:r w:rsidR="005649A8">
        <w:t>Solutions</w:t>
      </w:r>
    </w:p>
    <w:p w14:paraId="29745905" w14:textId="29F08B20" w:rsidR="005649A8" w:rsidRPr="005649A8" w:rsidRDefault="005649A8" w:rsidP="005649A8">
      <w:r>
        <w:t xml:space="preserve">In </w:t>
      </w:r>
      <w:proofErr w:type="gramStart"/>
      <w:r>
        <w:t>general</w:t>
      </w:r>
      <w:proofErr w:type="gramEnd"/>
      <w:r>
        <w:t xml:space="preserve"> regarding TDM</w:t>
      </w:r>
      <w:r w:rsidRPr="005649A8">
        <w:t xml:space="preserve"> approaches (</w:t>
      </w:r>
      <w:r w:rsidR="00052854">
        <w:t>DRX</w:t>
      </w:r>
      <w:r w:rsidRPr="005649A8">
        <w:t xml:space="preserve">, </w:t>
      </w:r>
      <w:r w:rsidR="00052854">
        <w:t>MUSIM</w:t>
      </w:r>
      <w:r w:rsidRPr="005649A8">
        <w:t xml:space="preserve">, </w:t>
      </w:r>
      <w:r w:rsidR="00052854">
        <w:t>HARQ</w:t>
      </w:r>
      <w:r w:rsidRPr="005649A8">
        <w:t xml:space="preserve">) there would need to be capability in the UE to get timing information between ISM modem and 3GPP radio(s). If that kind of capability is not present in the </w:t>
      </w:r>
      <w:proofErr w:type="gramStart"/>
      <w:r w:rsidRPr="005649A8">
        <w:t>UE</w:t>
      </w:r>
      <w:proofErr w:type="gramEnd"/>
      <w:r w:rsidRPr="005649A8">
        <w:t xml:space="preserve"> they really cannot support any </w:t>
      </w:r>
      <w:r w:rsidR="00606C04" w:rsidRPr="005649A8">
        <w:t>TD</w:t>
      </w:r>
      <w:r w:rsidR="00606C04">
        <w:t>M</w:t>
      </w:r>
      <w:r w:rsidR="00606C04" w:rsidRPr="005649A8">
        <w:t xml:space="preserve"> </w:t>
      </w:r>
      <w:r w:rsidRPr="005649A8">
        <w:t xml:space="preserve">approach. </w:t>
      </w:r>
      <w:proofErr w:type="gramStart"/>
      <w:r w:rsidRPr="005649A8">
        <w:t>Thus</w:t>
      </w:r>
      <w:proofErr w:type="gramEnd"/>
      <w:r w:rsidRPr="005649A8">
        <w:t xml:space="preserve"> it seems possible that there is not really possibility in all the UE implementations to rely on TDM based approaches.</w:t>
      </w:r>
    </w:p>
    <w:p w14:paraId="7EFE6470" w14:textId="24F2C96A" w:rsidR="005649A8" w:rsidRPr="005649A8" w:rsidRDefault="005649A8" w:rsidP="005649A8">
      <w:r w:rsidRPr="005649A8">
        <w:rPr>
          <w:b/>
          <w:bCs/>
        </w:rPr>
        <w:t>Observation 1</w:t>
      </w:r>
      <w:r w:rsidRPr="005649A8">
        <w:t>: One cannot rely on TDM based solutions solely to solve IDC issues</w:t>
      </w:r>
    </w:p>
    <w:p w14:paraId="1125B270" w14:textId="02BC6C5A" w:rsidR="005649A8" w:rsidRPr="005649A8" w:rsidRDefault="005649A8" w:rsidP="005649A8">
      <w:r w:rsidRPr="005649A8">
        <w:t>This leads to first proposal to focus on FDM based solutions in this WI which has been also clearly stated in the WI (RP-221281):</w:t>
      </w:r>
    </w:p>
    <w:p w14:paraId="39F42AE4" w14:textId="77777777" w:rsidR="005649A8" w:rsidRDefault="005649A8" w:rsidP="005649A8">
      <w:pPr>
        <w:pStyle w:val="ListParagraph"/>
        <w:numPr>
          <w:ilvl w:val="0"/>
          <w:numId w:val="10"/>
        </w:numPr>
      </w:pPr>
      <w:r w:rsidRPr="005649A8">
        <w:rPr>
          <w:lang w:val="en-GB"/>
        </w:rPr>
        <w:t>Enhancements to FDM solution, to allow more granular indication of affected frequencies (</w:t>
      </w:r>
      <w:proofErr w:type="gramStart"/>
      <w:r w:rsidRPr="005649A8">
        <w:rPr>
          <w:lang w:val="en-GB"/>
        </w:rPr>
        <w:t>e.g.</w:t>
      </w:r>
      <w:proofErr w:type="gramEnd"/>
      <w:r w:rsidRPr="005649A8">
        <w:rPr>
          <w:lang w:val="en-GB"/>
        </w:rPr>
        <w:t xml:space="preserve"> granularity of BWP or PRB level). </w:t>
      </w:r>
      <w:r>
        <w:t>(RAN2)</w:t>
      </w:r>
    </w:p>
    <w:p w14:paraId="671E46F7" w14:textId="77777777" w:rsidR="005649A8" w:rsidRPr="005649A8" w:rsidRDefault="005649A8" w:rsidP="005649A8">
      <w:pPr>
        <w:pStyle w:val="ListParagraph"/>
        <w:rPr>
          <w:lang w:val="en-GB"/>
        </w:rPr>
      </w:pPr>
      <w:r w:rsidRPr="005649A8">
        <w:rPr>
          <w:highlight w:val="yellow"/>
          <w:lang w:val="en-GB"/>
        </w:rPr>
        <w:t>Note: Enhancements to FDM solution is prioritized.</w:t>
      </w:r>
    </w:p>
    <w:p w14:paraId="0F955F47" w14:textId="77777777" w:rsidR="005649A8" w:rsidRPr="005649A8" w:rsidRDefault="005649A8" w:rsidP="005649A8">
      <w:pPr>
        <w:pStyle w:val="ListParagraph"/>
        <w:numPr>
          <w:ilvl w:val="0"/>
          <w:numId w:val="10"/>
        </w:numPr>
        <w:rPr>
          <w:lang w:val="en-GB"/>
        </w:rPr>
      </w:pPr>
      <w:r w:rsidRPr="005649A8">
        <w:rPr>
          <w:lang w:val="en-GB"/>
        </w:rPr>
        <w:t>Introduction of TDM solution (</w:t>
      </w:r>
      <w:proofErr w:type="gramStart"/>
      <w:r w:rsidRPr="005649A8">
        <w:rPr>
          <w:lang w:val="en-GB"/>
        </w:rPr>
        <w:t>e.g.</w:t>
      </w:r>
      <w:proofErr w:type="gramEnd"/>
      <w:r w:rsidRPr="005649A8">
        <w:rPr>
          <w:lang w:val="en-GB"/>
        </w:rPr>
        <w:t xml:space="preserve"> indication of UE preferred TDM pattern for UL/DL). (RAN2, RAN4).</w:t>
      </w:r>
      <w:r w:rsidRPr="005649A8">
        <w:rPr>
          <w:lang w:val="en-GB"/>
        </w:rPr>
        <w:br/>
      </w:r>
      <w:r w:rsidRPr="005649A8">
        <w:rPr>
          <w:highlight w:val="yellow"/>
          <w:lang w:val="en-GB"/>
        </w:rPr>
        <w:t>Note: The TDM solution is considered complementary to the FDM solution.</w:t>
      </w:r>
    </w:p>
    <w:p w14:paraId="7074EFB2" w14:textId="77777777" w:rsidR="005649A8" w:rsidRPr="005649A8" w:rsidRDefault="005649A8" w:rsidP="005649A8">
      <w:pPr>
        <w:pStyle w:val="ListParagraph"/>
        <w:numPr>
          <w:ilvl w:val="0"/>
          <w:numId w:val="10"/>
        </w:numPr>
        <w:rPr>
          <w:lang w:val="en-GB"/>
        </w:rPr>
      </w:pPr>
      <w:r w:rsidRPr="005649A8">
        <w:rPr>
          <w:lang w:val="en-GB"/>
        </w:rPr>
        <w:t>Specify RRM requirements for TDM solution (RAN4)</w:t>
      </w:r>
    </w:p>
    <w:p w14:paraId="1195673B" w14:textId="22C948C5" w:rsidR="005649A8" w:rsidRDefault="005649A8" w:rsidP="005649A8">
      <w:pPr>
        <w:rPr>
          <w:bCs/>
        </w:rPr>
      </w:pPr>
      <w:proofErr w:type="gramStart"/>
      <w:r>
        <w:rPr>
          <w:bCs/>
        </w:rPr>
        <w:t>Thus</w:t>
      </w:r>
      <w:proofErr w:type="gramEnd"/>
      <w:r>
        <w:rPr>
          <w:bCs/>
        </w:rPr>
        <w:t xml:space="preserve"> we propose:</w:t>
      </w:r>
    </w:p>
    <w:p w14:paraId="1EF96910" w14:textId="6FFEBE58" w:rsidR="005649A8" w:rsidRPr="005649A8" w:rsidRDefault="005649A8" w:rsidP="005649A8">
      <w:r>
        <w:rPr>
          <w:b/>
        </w:rPr>
        <w:t>Proposal 1:</w:t>
      </w:r>
      <w:r>
        <w:rPr>
          <w:b/>
          <w:bCs/>
        </w:rPr>
        <w:t xml:space="preserve"> </w:t>
      </w:r>
      <w:r>
        <w:t>First agree on details of FDM solution and only if time allows consider TDM based solutions</w:t>
      </w:r>
      <w:r w:rsidR="00672D81">
        <w:t xml:space="preserve"> as agreed in the WID.</w:t>
      </w:r>
    </w:p>
    <w:p w14:paraId="1242A2B2" w14:textId="358295ED" w:rsidR="005649A8" w:rsidRDefault="005649A8" w:rsidP="005649A8">
      <w:pPr>
        <w:pStyle w:val="Heading2"/>
      </w:pPr>
      <w:r>
        <w:t xml:space="preserve">2.1 </w:t>
      </w:r>
      <w:r>
        <w:tab/>
        <w:t>DRX</w:t>
      </w:r>
      <w:r w:rsidR="00F063B8">
        <w:t xml:space="preserve"> procedure</w:t>
      </w:r>
      <w:r w:rsidR="00617145">
        <w:t xml:space="preserve"> description</w:t>
      </w:r>
    </w:p>
    <w:p w14:paraId="51DC74EA" w14:textId="77777777" w:rsidR="009D43A3" w:rsidRDefault="009D43A3" w:rsidP="009D43A3">
      <w:pPr>
        <w:rPr>
          <w:lang w:val="en-US" w:eastAsia="ja-JP"/>
        </w:rPr>
      </w:pPr>
      <w:r>
        <w:rPr>
          <w:rFonts w:hint="eastAsia"/>
          <w:lang w:val="en-US" w:eastAsia="zh-CN"/>
        </w:rPr>
        <w:t>St</w:t>
      </w:r>
      <w:r>
        <w:rPr>
          <w:lang w:val="en-US" w:eastAsia="ja-JP"/>
        </w:rPr>
        <w:t xml:space="preserve">ep 1: The </w:t>
      </w:r>
      <w:proofErr w:type="spellStart"/>
      <w:r>
        <w:rPr>
          <w:lang w:val="en-US" w:eastAsia="ja-JP"/>
        </w:rPr>
        <w:t>eNB</w:t>
      </w:r>
      <w:proofErr w:type="spellEnd"/>
      <w:r>
        <w:rPr>
          <w:lang w:val="en-US" w:eastAsia="ja-JP"/>
        </w:rPr>
        <w:t xml:space="preserve"> indicates whether the IDC reporting for TDM assistance information is allowed.</w:t>
      </w:r>
    </w:p>
    <w:p w14:paraId="65D00E1E" w14:textId="117E09D4" w:rsidR="005649A8" w:rsidRDefault="009D43A3" w:rsidP="009D43A3">
      <w:r>
        <w:rPr>
          <w:lang w:val="en-US" w:eastAsia="ja-JP"/>
        </w:rPr>
        <w:t xml:space="preserve">Step 2: When detecting the IDC issue, the UE reports the DRX assistance information for the affected frequencies. </w:t>
      </w:r>
      <w:r>
        <w:rPr>
          <w:iCs/>
          <w:lang w:eastAsia="zh-CN"/>
        </w:rPr>
        <w:t xml:space="preserve">The TDM assistance information uses the MCG as timing reference. </w:t>
      </w:r>
      <w:r>
        <w:rPr>
          <w:lang w:val="en-US" w:eastAsia="ja-JP"/>
        </w:rPr>
        <w:t xml:space="preserve">The DRX assistance information includes: </w:t>
      </w:r>
      <w:proofErr w:type="spellStart"/>
      <w:r>
        <w:rPr>
          <w:i/>
          <w:iCs/>
          <w:lang w:eastAsia="zh-CN"/>
        </w:rPr>
        <w:t>drx-CycleLength</w:t>
      </w:r>
      <w:proofErr w:type="spellEnd"/>
      <w:r>
        <w:rPr>
          <w:lang w:eastAsia="zh-CN"/>
        </w:rPr>
        <w:t xml:space="preserve">, </w:t>
      </w:r>
      <w:proofErr w:type="spellStart"/>
      <w:r>
        <w:rPr>
          <w:i/>
          <w:iCs/>
          <w:lang w:eastAsia="zh-CN"/>
        </w:rPr>
        <w:t>drx</w:t>
      </w:r>
      <w:proofErr w:type="spellEnd"/>
      <w:r>
        <w:rPr>
          <w:i/>
          <w:iCs/>
          <w:lang w:eastAsia="zh-CN"/>
        </w:rPr>
        <w:t>-Offset</w:t>
      </w:r>
      <w:r>
        <w:rPr>
          <w:lang w:eastAsia="zh-CN"/>
        </w:rPr>
        <w:t xml:space="preserve"> and </w:t>
      </w:r>
      <w:proofErr w:type="spellStart"/>
      <w:r>
        <w:rPr>
          <w:i/>
          <w:iCs/>
          <w:lang w:eastAsia="zh-CN"/>
        </w:rPr>
        <w:t>drx-ActiveTime</w:t>
      </w:r>
      <w:proofErr w:type="spellEnd"/>
      <w:r>
        <w:rPr>
          <w:iCs/>
          <w:lang w:eastAsia="zh-CN"/>
        </w:rPr>
        <w:t xml:space="preserve"> in the granularity of subframe.</w:t>
      </w:r>
    </w:p>
    <w:p w14:paraId="01288F79" w14:textId="69378B4A" w:rsidR="005649A8" w:rsidRPr="009D43A3" w:rsidRDefault="009D43A3" w:rsidP="009339CB">
      <w:r>
        <w:t xml:space="preserve">Step 3: NW may change DRX or restrict in some other ways scheduling to avoid scheduling outside indicated </w:t>
      </w:r>
      <w:proofErr w:type="spellStart"/>
      <w:r>
        <w:rPr>
          <w:i/>
          <w:iCs/>
        </w:rPr>
        <w:t>drx-ActiveTime</w:t>
      </w:r>
      <w:proofErr w:type="spellEnd"/>
      <w:r>
        <w:t xml:space="preserve"> times</w:t>
      </w:r>
    </w:p>
    <w:p w14:paraId="02803829" w14:textId="64DA9C37" w:rsidR="005649A8" w:rsidRDefault="005649A8" w:rsidP="005649A8">
      <w:pPr>
        <w:pStyle w:val="Heading2"/>
      </w:pPr>
      <w:r>
        <w:lastRenderedPageBreak/>
        <w:t>2.2</w:t>
      </w:r>
      <w:r>
        <w:tab/>
        <w:t xml:space="preserve">MUSIM </w:t>
      </w:r>
      <w:r w:rsidR="00F063B8">
        <w:t>procedure</w:t>
      </w:r>
      <w:r w:rsidR="00617145">
        <w:t xml:space="preserve"> description</w:t>
      </w:r>
    </w:p>
    <w:p w14:paraId="4E0FC341" w14:textId="77777777" w:rsidR="009D43A3" w:rsidRDefault="009D43A3" w:rsidP="009D43A3">
      <w:pPr>
        <w:rPr>
          <w:lang w:val="en-US" w:eastAsia="ja-JP"/>
        </w:rPr>
      </w:pPr>
      <w:r>
        <w:rPr>
          <w:rFonts w:hint="eastAsia"/>
          <w:lang w:val="en-US" w:eastAsia="zh-CN"/>
        </w:rPr>
        <w:t>St</w:t>
      </w:r>
      <w:r>
        <w:rPr>
          <w:lang w:val="en-US" w:eastAsia="ja-JP"/>
        </w:rPr>
        <w:t xml:space="preserve">ep 1: The </w:t>
      </w:r>
      <w:proofErr w:type="spellStart"/>
      <w:r>
        <w:rPr>
          <w:lang w:val="en-US" w:eastAsia="ja-JP"/>
        </w:rPr>
        <w:t>gNB</w:t>
      </w:r>
      <w:proofErr w:type="spellEnd"/>
      <w:r>
        <w:rPr>
          <w:lang w:val="en-US" w:eastAsia="ja-JP"/>
        </w:rPr>
        <w:t xml:space="preserve"> indicates whether the IDC reporting for gap assistance information is allowed. And a prohibit timer is provided for gap assistance information.</w:t>
      </w:r>
    </w:p>
    <w:p w14:paraId="4DC262D7" w14:textId="77777777" w:rsidR="009D43A3" w:rsidRDefault="009D43A3" w:rsidP="009D43A3">
      <w:pPr>
        <w:rPr>
          <w:lang w:val="en-US" w:eastAsia="ja-JP"/>
        </w:rPr>
      </w:pPr>
      <w:r>
        <w:rPr>
          <w:lang w:val="en-US" w:eastAsia="ja-JP"/>
        </w:rPr>
        <w:t xml:space="preserve">Step 2: When detecting the IDC issue, the UE reports its preferred gap configuration for the affected frequencies when the prohibit timer is not running. </w:t>
      </w:r>
      <w:r>
        <w:rPr>
          <w:iCs/>
          <w:lang w:eastAsia="zh-CN"/>
        </w:rPr>
        <w:t>The TDM assistance information uses the MCG as timing reference.</w:t>
      </w:r>
    </w:p>
    <w:p w14:paraId="35569DDC" w14:textId="0C160ED0" w:rsidR="009D43A3" w:rsidRPr="00617145" w:rsidRDefault="009D43A3" w:rsidP="009D43A3">
      <w:pPr>
        <w:pStyle w:val="ListParagraph"/>
        <w:numPr>
          <w:ilvl w:val="0"/>
          <w:numId w:val="11"/>
        </w:numPr>
        <w:rPr>
          <w:rFonts w:ascii="Times New Roman" w:hAnsi="Times New Roman" w:cs="Times New Roman"/>
          <w:sz w:val="20"/>
          <w:szCs w:val="20"/>
          <w:lang w:val="en-GB"/>
        </w:rPr>
      </w:pPr>
      <w:r w:rsidRPr="009D43A3">
        <w:rPr>
          <w:rFonts w:ascii="Times New Roman" w:hAnsi="Times New Roman" w:cs="Times New Roman"/>
          <w:sz w:val="20"/>
          <w:szCs w:val="20"/>
          <w:lang w:val="en-US" w:eastAsia="ja-JP"/>
        </w:rPr>
        <w:t xml:space="preserve">If the UE prefers </w:t>
      </w:r>
      <w:r w:rsidRPr="00617145">
        <w:rPr>
          <w:rFonts w:ascii="Times New Roman" w:hAnsi="Times New Roman" w:cs="Times New Roman"/>
          <w:sz w:val="20"/>
          <w:szCs w:val="20"/>
          <w:lang w:val="en-GB" w:eastAsia="ko-KR"/>
        </w:rPr>
        <w:t xml:space="preserve">periodic gap, the </w:t>
      </w:r>
      <w:r w:rsidRPr="009D43A3">
        <w:rPr>
          <w:rFonts w:ascii="Times New Roman" w:hAnsi="Times New Roman" w:cs="Times New Roman"/>
          <w:sz w:val="20"/>
          <w:szCs w:val="20"/>
          <w:lang w:val="en-US" w:eastAsia="ja-JP"/>
        </w:rPr>
        <w:t xml:space="preserve">preferred gap configuration includes </w:t>
      </w:r>
      <w:proofErr w:type="spellStart"/>
      <w:r w:rsidRPr="00617145">
        <w:rPr>
          <w:rFonts w:ascii="Times New Roman" w:hAnsi="Times New Roman" w:cs="Times New Roman"/>
          <w:i/>
          <w:sz w:val="20"/>
          <w:szCs w:val="20"/>
          <w:lang w:val="en-GB"/>
        </w:rPr>
        <w:t>idc-GapPreferenceList</w:t>
      </w:r>
      <w:proofErr w:type="spellEnd"/>
      <w:r w:rsidRPr="00617145">
        <w:rPr>
          <w:rFonts w:ascii="Times New Roman" w:hAnsi="Times New Roman" w:cs="Times New Roman"/>
          <w:sz w:val="20"/>
          <w:szCs w:val="20"/>
          <w:lang w:val="en-GB"/>
        </w:rPr>
        <w:t xml:space="preserve"> with an entry for each periodic gap. Each </w:t>
      </w:r>
      <w:r w:rsidR="00506475" w:rsidRPr="00617145">
        <w:rPr>
          <w:rFonts w:ascii="Times New Roman" w:hAnsi="Times New Roman" w:cs="Times New Roman"/>
          <w:sz w:val="20"/>
          <w:szCs w:val="20"/>
          <w:lang w:val="en-GB"/>
        </w:rPr>
        <w:t>periodic</w:t>
      </w:r>
      <w:r w:rsidRPr="00617145">
        <w:rPr>
          <w:rFonts w:ascii="Times New Roman" w:hAnsi="Times New Roman" w:cs="Times New Roman"/>
          <w:sz w:val="20"/>
          <w:szCs w:val="20"/>
          <w:lang w:val="en-GB"/>
        </w:rPr>
        <w:t xml:space="preserve"> gap configuration includes </w:t>
      </w:r>
      <w:proofErr w:type="spellStart"/>
      <w:r w:rsidRPr="00617145">
        <w:rPr>
          <w:rFonts w:ascii="Times New Roman" w:hAnsi="Times New Roman" w:cs="Times New Roman"/>
          <w:i/>
          <w:iCs/>
          <w:sz w:val="20"/>
          <w:szCs w:val="20"/>
          <w:lang w:val="en-GB"/>
        </w:rPr>
        <w:t>idc-GapLength</w:t>
      </w:r>
      <w:proofErr w:type="spellEnd"/>
      <w:r w:rsidRPr="00617145">
        <w:rPr>
          <w:rFonts w:ascii="Times New Roman" w:hAnsi="Times New Roman" w:cs="Times New Roman"/>
          <w:sz w:val="20"/>
          <w:szCs w:val="20"/>
          <w:lang w:val="en-GB"/>
        </w:rPr>
        <w:t xml:space="preserve"> and </w:t>
      </w:r>
      <w:proofErr w:type="spellStart"/>
      <w:r w:rsidRPr="00617145">
        <w:rPr>
          <w:rFonts w:ascii="Times New Roman" w:hAnsi="Times New Roman" w:cs="Times New Roman"/>
          <w:i/>
          <w:iCs/>
          <w:sz w:val="20"/>
          <w:szCs w:val="20"/>
          <w:lang w:val="en-GB"/>
        </w:rPr>
        <w:t>idc-GapRepetitionAndOffset</w:t>
      </w:r>
      <w:proofErr w:type="spellEnd"/>
      <w:r w:rsidRPr="00617145">
        <w:rPr>
          <w:rFonts w:ascii="Times New Roman" w:hAnsi="Times New Roman" w:cs="Times New Roman"/>
          <w:iCs/>
          <w:sz w:val="20"/>
          <w:szCs w:val="20"/>
          <w:lang w:val="en-GB"/>
        </w:rPr>
        <w:t xml:space="preserve"> including </w:t>
      </w:r>
      <w:r w:rsidRPr="00617145">
        <w:rPr>
          <w:rFonts w:ascii="Times New Roman" w:hAnsi="Times New Roman" w:cs="Times New Roman"/>
          <w:sz w:val="20"/>
          <w:szCs w:val="20"/>
          <w:lang w:val="en-GB" w:eastAsia="sv-SE"/>
        </w:rPr>
        <w:t>the gap repetition period</w:t>
      </w:r>
      <w:r w:rsidRPr="00617145">
        <w:rPr>
          <w:rFonts w:ascii="Times New Roman" w:hAnsi="Times New Roman" w:cs="Times New Roman"/>
          <w:iCs/>
          <w:sz w:val="20"/>
          <w:szCs w:val="20"/>
          <w:lang w:val="en-GB"/>
        </w:rPr>
        <w:t xml:space="preserve"> and the </w:t>
      </w:r>
      <w:r w:rsidRPr="00617145">
        <w:rPr>
          <w:rFonts w:ascii="Times New Roman" w:hAnsi="Times New Roman" w:cs="Times New Roman"/>
          <w:sz w:val="20"/>
          <w:szCs w:val="20"/>
          <w:lang w:val="en-GB" w:eastAsia="sv-SE"/>
        </w:rPr>
        <w:t xml:space="preserve">gap offset </w:t>
      </w:r>
      <w:r w:rsidRPr="00617145">
        <w:rPr>
          <w:rFonts w:ascii="Times New Roman" w:hAnsi="Times New Roman" w:cs="Times New Roman"/>
          <w:iCs/>
          <w:sz w:val="20"/>
          <w:szCs w:val="20"/>
          <w:lang w:val="en-GB"/>
        </w:rPr>
        <w:t xml:space="preserve">in the granularity of </w:t>
      </w:r>
      <w:proofErr w:type="spellStart"/>
      <w:r w:rsidRPr="00617145">
        <w:rPr>
          <w:rFonts w:ascii="Times New Roman" w:hAnsi="Times New Roman" w:cs="Times New Roman"/>
          <w:iCs/>
          <w:sz w:val="20"/>
          <w:szCs w:val="20"/>
          <w:lang w:val="en-GB"/>
        </w:rPr>
        <w:t>ms</w:t>
      </w:r>
      <w:proofErr w:type="spellEnd"/>
      <w:r w:rsidRPr="00617145">
        <w:rPr>
          <w:rFonts w:ascii="Times New Roman" w:hAnsi="Times New Roman" w:cs="Times New Roman"/>
          <w:sz w:val="20"/>
          <w:szCs w:val="20"/>
          <w:lang w:val="en-GB"/>
        </w:rPr>
        <w:t>.</w:t>
      </w:r>
    </w:p>
    <w:p w14:paraId="56F2CCE6" w14:textId="45430047" w:rsidR="009D43A3" w:rsidRPr="00617145" w:rsidRDefault="009D43A3" w:rsidP="009D43A3">
      <w:pPr>
        <w:pStyle w:val="ListParagraph"/>
        <w:numPr>
          <w:ilvl w:val="0"/>
          <w:numId w:val="11"/>
        </w:numPr>
        <w:rPr>
          <w:rFonts w:ascii="Times New Roman" w:hAnsi="Times New Roman" w:cs="Times New Roman"/>
          <w:sz w:val="20"/>
          <w:szCs w:val="20"/>
          <w:lang w:val="en-GB"/>
        </w:rPr>
      </w:pPr>
      <w:r w:rsidRPr="009D43A3">
        <w:rPr>
          <w:rFonts w:ascii="Times New Roman" w:hAnsi="Times New Roman" w:cs="Times New Roman"/>
          <w:sz w:val="20"/>
          <w:szCs w:val="20"/>
          <w:lang w:val="en-US" w:eastAsia="ja-JP"/>
        </w:rPr>
        <w:t xml:space="preserve">If the UE prefers aperiodic gap, </w:t>
      </w:r>
      <w:r w:rsidRPr="00617145">
        <w:rPr>
          <w:rFonts w:ascii="Times New Roman" w:hAnsi="Times New Roman" w:cs="Times New Roman"/>
          <w:sz w:val="20"/>
          <w:szCs w:val="20"/>
          <w:lang w:val="en-GB" w:eastAsia="ko-KR"/>
        </w:rPr>
        <w:t xml:space="preserve">the </w:t>
      </w:r>
      <w:r w:rsidRPr="009D43A3">
        <w:rPr>
          <w:rFonts w:ascii="Times New Roman" w:hAnsi="Times New Roman" w:cs="Times New Roman"/>
          <w:sz w:val="20"/>
          <w:szCs w:val="20"/>
          <w:lang w:val="en-US" w:eastAsia="ja-JP"/>
        </w:rPr>
        <w:t xml:space="preserve">preferred gap configuration includes </w:t>
      </w:r>
      <w:proofErr w:type="spellStart"/>
      <w:r w:rsidRPr="00617145">
        <w:rPr>
          <w:rFonts w:ascii="Times New Roman" w:hAnsi="Times New Roman" w:cs="Times New Roman"/>
          <w:i/>
          <w:sz w:val="20"/>
          <w:szCs w:val="20"/>
          <w:lang w:val="en-GB"/>
        </w:rPr>
        <w:t>idc-GapPreferenceList</w:t>
      </w:r>
      <w:proofErr w:type="spellEnd"/>
      <w:r w:rsidRPr="00617145">
        <w:rPr>
          <w:rFonts w:ascii="Times New Roman" w:hAnsi="Times New Roman" w:cs="Times New Roman"/>
          <w:sz w:val="20"/>
          <w:szCs w:val="20"/>
          <w:lang w:val="en-GB"/>
        </w:rPr>
        <w:t xml:space="preserve"> with an entry for each aperiodic gap. Each </w:t>
      </w:r>
      <w:r w:rsidR="00506475" w:rsidRPr="00617145">
        <w:rPr>
          <w:rFonts w:ascii="Times New Roman" w:hAnsi="Times New Roman" w:cs="Times New Roman"/>
          <w:sz w:val="20"/>
          <w:szCs w:val="20"/>
          <w:lang w:val="en-GB"/>
        </w:rPr>
        <w:t>aperiodic</w:t>
      </w:r>
      <w:r w:rsidRPr="00617145">
        <w:rPr>
          <w:rFonts w:ascii="Times New Roman" w:hAnsi="Times New Roman" w:cs="Times New Roman"/>
          <w:sz w:val="20"/>
          <w:szCs w:val="20"/>
          <w:lang w:val="en-GB"/>
        </w:rPr>
        <w:t xml:space="preserve"> gap configuration includes </w:t>
      </w:r>
      <w:proofErr w:type="spellStart"/>
      <w:r w:rsidRPr="00617145">
        <w:rPr>
          <w:rFonts w:ascii="Times New Roman" w:hAnsi="Times New Roman" w:cs="Times New Roman"/>
          <w:i/>
          <w:iCs/>
          <w:sz w:val="20"/>
          <w:szCs w:val="20"/>
          <w:lang w:val="en-GB"/>
        </w:rPr>
        <w:t>idc-GapLength</w:t>
      </w:r>
      <w:proofErr w:type="spellEnd"/>
      <w:r w:rsidRPr="00617145">
        <w:rPr>
          <w:rFonts w:ascii="Times New Roman" w:hAnsi="Times New Roman" w:cs="Times New Roman"/>
          <w:sz w:val="20"/>
          <w:szCs w:val="20"/>
          <w:lang w:val="en-GB"/>
        </w:rPr>
        <w:t xml:space="preserve"> </w:t>
      </w:r>
      <w:r w:rsidRPr="00617145">
        <w:rPr>
          <w:rFonts w:ascii="Times New Roman" w:hAnsi="Times New Roman" w:cs="Times New Roman"/>
          <w:iCs/>
          <w:sz w:val="20"/>
          <w:szCs w:val="20"/>
          <w:lang w:val="en-GB"/>
        </w:rPr>
        <w:t xml:space="preserve">in the granularity of </w:t>
      </w:r>
      <w:proofErr w:type="spellStart"/>
      <w:r w:rsidRPr="00617145">
        <w:rPr>
          <w:rFonts w:ascii="Times New Roman" w:hAnsi="Times New Roman" w:cs="Times New Roman"/>
          <w:iCs/>
          <w:sz w:val="20"/>
          <w:szCs w:val="20"/>
          <w:lang w:val="en-GB"/>
        </w:rPr>
        <w:t>ms</w:t>
      </w:r>
      <w:proofErr w:type="spellEnd"/>
      <w:r w:rsidRPr="00617145">
        <w:rPr>
          <w:rFonts w:ascii="Times New Roman" w:hAnsi="Times New Roman" w:cs="Times New Roman"/>
          <w:sz w:val="20"/>
          <w:szCs w:val="20"/>
          <w:lang w:val="en-GB"/>
        </w:rPr>
        <w:t xml:space="preserve"> and </w:t>
      </w:r>
      <w:proofErr w:type="spellStart"/>
      <w:r w:rsidRPr="00617145">
        <w:rPr>
          <w:rFonts w:ascii="Times New Roman" w:hAnsi="Times New Roman" w:cs="Times New Roman"/>
          <w:i/>
          <w:iCs/>
          <w:sz w:val="20"/>
          <w:szCs w:val="20"/>
          <w:lang w:val="en-GB"/>
        </w:rPr>
        <w:t>idc</w:t>
      </w:r>
      <w:proofErr w:type="spellEnd"/>
      <w:r w:rsidRPr="00617145">
        <w:rPr>
          <w:rFonts w:ascii="Times New Roman" w:hAnsi="Times New Roman" w:cs="Times New Roman"/>
          <w:i/>
          <w:iCs/>
          <w:sz w:val="20"/>
          <w:szCs w:val="20"/>
          <w:lang w:val="en-GB"/>
        </w:rPr>
        <w:t>-Starting-SFN-</w:t>
      </w:r>
      <w:proofErr w:type="spellStart"/>
      <w:r w:rsidRPr="00617145">
        <w:rPr>
          <w:rFonts w:ascii="Times New Roman" w:hAnsi="Times New Roman" w:cs="Times New Roman"/>
          <w:i/>
          <w:iCs/>
          <w:sz w:val="20"/>
          <w:szCs w:val="20"/>
          <w:lang w:val="en-GB"/>
        </w:rPr>
        <w:t>AndSubframe</w:t>
      </w:r>
      <w:proofErr w:type="spellEnd"/>
      <w:r w:rsidRPr="00617145">
        <w:rPr>
          <w:rFonts w:ascii="Times New Roman" w:hAnsi="Times New Roman" w:cs="Times New Roman"/>
          <w:iCs/>
          <w:sz w:val="20"/>
          <w:szCs w:val="20"/>
          <w:lang w:val="en-GB"/>
        </w:rPr>
        <w:t xml:space="preserve"> including </w:t>
      </w:r>
      <w:r w:rsidRPr="00617145">
        <w:rPr>
          <w:rFonts w:ascii="Times New Roman" w:hAnsi="Times New Roman" w:cs="Times New Roman"/>
          <w:i/>
          <w:sz w:val="20"/>
          <w:szCs w:val="20"/>
          <w:lang w:val="en-GB"/>
        </w:rPr>
        <w:t>starting-SFN</w:t>
      </w:r>
      <w:r w:rsidRPr="00617145">
        <w:rPr>
          <w:rFonts w:ascii="Times New Roman" w:hAnsi="Times New Roman" w:cs="Times New Roman"/>
          <w:iCs/>
          <w:sz w:val="20"/>
          <w:szCs w:val="20"/>
          <w:lang w:val="en-GB"/>
        </w:rPr>
        <w:t xml:space="preserve"> in the granularity of SFN and </w:t>
      </w:r>
      <w:proofErr w:type="spellStart"/>
      <w:r w:rsidRPr="00617145">
        <w:rPr>
          <w:rFonts w:ascii="Times New Roman" w:hAnsi="Times New Roman" w:cs="Times New Roman"/>
          <w:i/>
          <w:sz w:val="20"/>
          <w:szCs w:val="20"/>
          <w:lang w:val="en-GB"/>
        </w:rPr>
        <w:t>startingSubframe</w:t>
      </w:r>
      <w:proofErr w:type="spellEnd"/>
      <w:r w:rsidRPr="00617145">
        <w:rPr>
          <w:rFonts w:ascii="Times New Roman" w:hAnsi="Times New Roman" w:cs="Times New Roman"/>
          <w:iCs/>
          <w:sz w:val="20"/>
          <w:szCs w:val="20"/>
          <w:lang w:val="en-GB"/>
        </w:rPr>
        <w:t xml:space="preserve"> in the granularity of subframe</w:t>
      </w:r>
      <w:r w:rsidRPr="00617145">
        <w:rPr>
          <w:rFonts w:ascii="Times New Roman" w:hAnsi="Times New Roman" w:cs="Times New Roman"/>
          <w:sz w:val="20"/>
          <w:szCs w:val="20"/>
          <w:lang w:val="en-GB"/>
        </w:rPr>
        <w:t>.</w:t>
      </w:r>
    </w:p>
    <w:p w14:paraId="09B92EA0" w14:textId="23686F9A" w:rsidR="009D43A3" w:rsidRPr="009D43A3" w:rsidRDefault="009D43A3" w:rsidP="009D43A3">
      <w:r w:rsidRPr="009D43A3">
        <w:t xml:space="preserve">Step 3: NW may </w:t>
      </w:r>
      <w:r>
        <w:t>configure</w:t>
      </w:r>
      <w:r w:rsidRPr="009D43A3">
        <w:t xml:space="preserve"> </w:t>
      </w:r>
      <w:r>
        <w:t xml:space="preserve">gap based on the UE indicated gap patterns </w:t>
      </w:r>
      <w:proofErr w:type="gramStart"/>
      <w:r>
        <w:t>and also</w:t>
      </w:r>
      <w:proofErr w:type="gramEnd"/>
      <w:r>
        <w:t xml:space="preserve"> it is possible that NW just restricts scheduling in indicated gap positions</w:t>
      </w:r>
    </w:p>
    <w:p w14:paraId="793ADCC7" w14:textId="18F269F5" w:rsidR="005649A8" w:rsidRDefault="005649A8" w:rsidP="005649A8">
      <w:pPr>
        <w:pStyle w:val="Heading2"/>
      </w:pPr>
      <w:r>
        <w:t>2.3</w:t>
      </w:r>
      <w:r>
        <w:tab/>
        <w:t>HARQ</w:t>
      </w:r>
      <w:r w:rsidR="00F063B8">
        <w:t xml:space="preserve"> reservation procedure</w:t>
      </w:r>
      <w:r w:rsidR="00617145">
        <w:t xml:space="preserve"> description</w:t>
      </w:r>
    </w:p>
    <w:p w14:paraId="3F78EFA1" w14:textId="77777777" w:rsidR="00F063B8" w:rsidRDefault="00F063B8" w:rsidP="00F063B8">
      <w:pPr>
        <w:rPr>
          <w:lang w:val="en-US" w:eastAsia="ja-JP"/>
        </w:rPr>
      </w:pPr>
      <w:r>
        <w:rPr>
          <w:rFonts w:hint="eastAsia"/>
          <w:lang w:val="en-US" w:eastAsia="zh-CN"/>
        </w:rPr>
        <w:t>St</w:t>
      </w:r>
      <w:r>
        <w:rPr>
          <w:lang w:val="en-US" w:eastAsia="ja-JP"/>
        </w:rPr>
        <w:t xml:space="preserve">ep 1: The </w:t>
      </w:r>
      <w:proofErr w:type="spellStart"/>
      <w:r>
        <w:rPr>
          <w:lang w:val="en-US" w:eastAsia="ja-JP"/>
        </w:rPr>
        <w:t>gNB</w:t>
      </w:r>
      <w:proofErr w:type="spellEnd"/>
      <w:r>
        <w:rPr>
          <w:lang w:val="en-US" w:eastAsia="ja-JP"/>
        </w:rPr>
        <w:t xml:space="preserve"> indicates whether the IDC reporting for TDM assistance information is allowed.</w:t>
      </w:r>
    </w:p>
    <w:p w14:paraId="1D8DC038" w14:textId="77777777" w:rsidR="00F063B8" w:rsidRDefault="00F063B8" w:rsidP="00F063B8">
      <w:pPr>
        <w:rPr>
          <w:iCs/>
        </w:rPr>
      </w:pPr>
      <w:r>
        <w:rPr>
          <w:lang w:val="en-US" w:eastAsia="ja-JP"/>
        </w:rPr>
        <w:t xml:space="preserve">Step 2: When detecting the IDC issue, the UE reports the </w:t>
      </w:r>
      <w:r>
        <w:t>desired subframe reservation patterns</w:t>
      </w:r>
      <w:r>
        <w:rPr>
          <w:lang w:eastAsia="zh-CN"/>
        </w:rPr>
        <w:t xml:space="preserve"> </w:t>
      </w:r>
      <w:r>
        <w:rPr>
          <w:lang w:val="en-US" w:eastAsia="ja-JP"/>
        </w:rPr>
        <w:t xml:space="preserve">for the affected frequencies. </w:t>
      </w:r>
      <w:r>
        <w:rPr>
          <w:iCs/>
          <w:lang w:eastAsia="zh-CN"/>
        </w:rPr>
        <w:t xml:space="preserve">The TDM assistance information uses the MCG as timing reference. </w:t>
      </w:r>
      <w:r>
        <w:rPr>
          <w:lang w:val="en-US" w:eastAsia="ja-JP"/>
        </w:rPr>
        <w:t xml:space="preserve">The </w:t>
      </w:r>
      <w:r>
        <w:t>desired subframe reservation patterns</w:t>
      </w:r>
      <w:r>
        <w:rPr>
          <w:lang w:eastAsia="zh-CN"/>
        </w:rPr>
        <w:t xml:space="preserve"> </w:t>
      </w:r>
      <w:proofErr w:type="gramStart"/>
      <w:r>
        <w:rPr>
          <w:lang w:val="en-US" w:eastAsia="ja-JP"/>
        </w:rPr>
        <w:t>is</w:t>
      </w:r>
      <w:proofErr w:type="gramEnd"/>
      <w:r>
        <w:rPr>
          <w:lang w:val="en-US" w:eastAsia="ja-JP"/>
        </w:rPr>
        <w:t xml:space="preserve"> included in </w:t>
      </w:r>
      <w:proofErr w:type="spellStart"/>
      <w:r>
        <w:rPr>
          <w:i/>
          <w:iCs/>
        </w:rPr>
        <w:t>idc-SubframePatternList</w:t>
      </w:r>
      <w:proofErr w:type="spellEnd"/>
      <w:r>
        <w:rPr>
          <w:iCs/>
        </w:rPr>
        <w:t xml:space="preserve">. A bitmap with </w:t>
      </w:r>
      <w:r>
        <w:rPr>
          <w:lang w:eastAsia="zh-CN"/>
        </w:rPr>
        <w:t>value 0 indicates that NR is requested to abstain from using the subframe.</w:t>
      </w:r>
    </w:p>
    <w:p w14:paraId="4B7424DE" w14:textId="366E7EE8" w:rsidR="005649A8" w:rsidRDefault="005649A8" w:rsidP="005649A8">
      <w:pPr>
        <w:pStyle w:val="Heading2"/>
      </w:pPr>
      <w:r>
        <w:t>2.4</w:t>
      </w:r>
      <w:r>
        <w:tab/>
        <w:t>Autonomous Denial</w:t>
      </w:r>
      <w:r w:rsidR="00617145">
        <w:t xml:space="preserve"> </w:t>
      </w:r>
      <w:r w:rsidR="00506475">
        <w:t>description</w:t>
      </w:r>
    </w:p>
    <w:p w14:paraId="034E0016" w14:textId="77777777" w:rsidR="00F063B8" w:rsidRDefault="00F063B8" w:rsidP="00F063B8">
      <w:pPr>
        <w:rPr>
          <w:lang w:val="en-US" w:eastAsia="ja-JP"/>
        </w:rPr>
      </w:pPr>
      <w:r>
        <w:rPr>
          <w:lang w:val="en-US" w:eastAsia="ja-JP"/>
        </w:rPr>
        <w:t xml:space="preserve">Step 1: The </w:t>
      </w:r>
      <w:proofErr w:type="spellStart"/>
      <w:r>
        <w:rPr>
          <w:lang w:val="en-US" w:eastAsia="ja-JP"/>
        </w:rPr>
        <w:t>eNB</w:t>
      </w:r>
      <w:proofErr w:type="spellEnd"/>
      <w:r>
        <w:rPr>
          <w:lang w:val="en-US" w:eastAsia="ja-JP"/>
        </w:rPr>
        <w:t xml:space="preserve"> provides the </w:t>
      </w:r>
      <w:proofErr w:type="spellStart"/>
      <w:r>
        <w:rPr>
          <w:i/>
        </w:rPr>
        <w:t>autonomousDenialParameters</w:t>
      </w:r>
      <w:proofErr w:type="spellEnd"/>
      <w:r>
        <w:t xml:space="preserve"> including </w:t>
      </w:r>
      <w:bookmarkStart w:id="0" w:name="OLE_LINK56"/>
      <w:proofErr w:type="spellStart"/>
      <w:r>
        <w:rPr>
          <w:i/>
        </w:rPr>
        <w:t>autonomousDenialSubframes</w:t>
      </w:r>
      <w:bookmarkEnd w:id="0"/>
      <w:proofErr w:type="spellEnd"/>
      <w:r>
        <w:t xml:space="preserve"> and </w:t>
      </w:r>
      <w:proofErr w:type="spellStart"/>
      <w:r>
        <w:rPr>
          <w:i/>
        </w:rPr>
        <w:t>autonomousDenialValidity</w:t>
      </w:r>
      <w:proofErr w:type="spellEnd"/>
      <w:r>
        <w:t xml:space="preserve"> in the granularity of subframe.</w:t>
      </w:r>
    </w:p>
    <w:p w14:paraId="6D4B782B" w14:textId="62660636" w:rsidR="00F063B8" w:rsidRPr="00F063B8" w:rsidRDefault="00F063B8" w:rsidP="00F063B8">
      <w:r>
        <w:rPr>
          <w:lang w:val="en-US" w:eastAsia="ja-JP"/>
        </w:rPr>
        <w:t xml:space="preserve">Step 2: The UE is allowed to </w:t>
      </w:r>
      <w:r>
        <w:t xml:space="preserve">deny any transmission in a particular UL subframe if during the number of subframes indicated by </w:t>
      </w:r>
      <w:proofErr w:type="spellStart"/>
      <w:r>
        <w:rPr>
          <w:i/>
        </w:rPr>
        <w:t>autonomousDenialValidity</w:t>
      </w:r>
      <w:proofErr w:type="spellEnd"/>
      <w:r>
        <w:t xml:space="preserve">, </w:t>
      </w:r>
      <w:proofErr w:type="spellStart"/>
      <w:r>
        <w:t>preceeding</w:t>
      </w:r>
      <w:proofErr w:type="spellEnd"/>
      <w:r>
        <w:t xml:space="preserve"> and including this </w:t>
      </w:r>
      <w:proofErr w:type="gramStart"/>
      <w:r>
        <w:t>particular subframe</w:t>
      </w:r>
      <w:proofErr w:type="gramEnd"/>
      <w:r>
        <w:t xml:space="preserve">, it autonomously denied fewer UL subframes than indicated by </w:t>
      </w:r>
      <w:proofErr w:type="spellStart"/>
      <w:r>
        <w:rPr>
          <w:i/>
        </w:rPr>
        <w:t>autonomousDenialSubframes</w:t>
      </w:r>
      <w:proofErr w:type="spellEnd"/>
    </w:p>
    <w:p w14:paraId="28C39486" w14:textId="54471425" w:rsidR="00930340" w:rsidRDefault="004B5E01" w:rsidP="004B5E01">
      <w:pPr>
        <w:pStyle w:val="Heading1"/>
      </w:pPr>
      <w:r>
        <w:t>3</w:t>
      </w:r>
      <w:r>
        <w:tab/>
      </w:r>
      <w:r w:rsidR="00F063B8">
        <w:t>Discussion on TDM solutions</w:t>
      </w:r>
    </w:p>
    <w:p w14:paraId="3D2EC2A4" w14:textId="4287ACF9" w:rsidR="00F063B8" w:rsidRDefault="00F063B8" w:rsidP="009202DD">
      <w:r>
        <w:t>As was discuss</w:t>
      </w:r>
      <w:r w:rsidR="00617145">
        <w:t>ed</w:t>
      </w:r>
      <w:r>
        <w:t xml:space="preserve"> in the post RAN2#119 email discussion 651 most of companies agreed that it is difficult to make HARQ reservation style solution to work in NR and most companies preferred DRX/MUSIM gap style solution directions if any. </w:t>
      </w:r>
      <w:proofErr w:type="gramStart"/>
      <w:r>
        <w:t>Thus</w:t>
      </w:r>
      <w:proofErr w:type="gramEnd"/>
      <w:r>
        <w:t xml:space="preserve"> we would not like to spend further time for HARQ reservation style approaches in this WI:</w:t>
      </w:r>
    </w:p>
    <w:p w14:paraId="6E7D9273" w14:textId="1B5832BA" w:rsidR="00F063B8" w:rsidRDefault="00F063B8" w:rsidP="009202DD">
      <w:r>
        <w:rPr>
          <w:b/>
          <w:bCs/>
        </w:rPr>
        <w:t>Proposal</w:t>
      </w:r>
      <w:r w:rsidR="00464747">
        <w:rPr>
          <w:b/>
          <w:bCs/>
        </w:rPr>
        <w:t xml:space="preserve"> 2</w:t>
      </w:r>
      <w:r>
        <w:rPr>
          <w:b/>
          <w:bCs/>
        </w:rPr>
        <w:t xml:space="preserve">: </w:t>
      </w:r>
      <w:r>
        <w:t>Do not consider HARQ reservation style approach as TDM candidate solution</w:t>
      </w:r>
    </w:p>
    <w:p w14:paraId="7204E87C" w14:textId="108D547C" w:rsidR="00F063B8" w:rsidRDefault="00F063B8" w:rsidP="009202DD">
      <w:proofErr w:type="gramStart"/>
      <w:r>
        <w:t>Additionally</w:t>
      </w:r>
      <w:proofErr w:type="gramEnd"/>
      <w:r>
        <w:t xml:space="preserve"> it was seen by most companies that autonomous denial solution cannot solve all the IDC issues on its own but could be useful to ensure </w:t>
      </w:r>
      <w:r w:rsidR="00464747">
        <w:t xml:space="preserve">operation of ISM radios </w:t>
      </w:r>
      <w:r>
        <w:t xml:space="preserve">if NW cannot fulfil all the requirements of IDC </w:t>
      </w:r>
      <w:r w:rsidR="00464747">
        <w:t>as</w:t>
      </w:r>
      <w:r>
        <w:t xml:space="preserve"> UE would be allowed to at least perform most critical </w:t>
      </w:r>
      <w:r w:rsidR="00464747">
        <w:t>ISM transmissions e.g. WIFI beacon</w:t>
      </w:r>
      <w:r w:rsidR="00110E25">
        <w:t xml:space="preserve"> (as in LTE)</w:t>
      </w:r>
      <w:r w:rsidR="00464747">
        <w:t xml:space="preserve">. </w:t>
      </w:r>
      <w:proofErr w:type="gramStart"/>
      <w:r w:rsidR="00464747">
        <w:t>Thus</w:t>
      </w:r>
      <w:proofErr w:type="gramEnd"/>
      <w:r w:rsidR="00464747">
        <w:t xml:space="preserve"> we propose:</w:t>
      </w:r>
    </w:p>
    <w:p w14:paraId="0997F5A6" w14:textId="63961235" w:rsidR="00464747" w:rsidRDefault="00464747" w:rsidP="009202DD">
      <w:r>
        <w:rPr>
          <w:b/>
          <w:bCs/>
        </w:rPr>
        <w:t xml:space="preserve">Proposal 3: </w:t>
      </w:r>
      <w:r>
        <w:t>Autonomous denial solution will be considered as only complementary solution to other IDC solutions (FDM/TDM)</w:t>
      </w:r>
    </w:p>
    <w:p w14:paraId="09830859" w14:textId="48075F53" w:rsidR="00464747" w:rsidRDefault="00464747" w:rsidP="009202DD">
      <w:r>
        <w:t xml:space="preserve">Then regarding TDM assistance information that is required for both DRX and MUSIM </w:t>
      </w:r>
      <w:proofErr w:type="gramStart"/>
      <w:r>
        <w:t>gap based</w:t>
      </w:r>
      <w:proofErr w:type="gramEnd"/>
      <w:r>
        <w:t xml:space="preserve"> solutions one would need to ensure that UE can indicate sufficient details about required TDM solution. </w:t>
      </w:r>
      <w:r w:rsidR="001827E3">
        <w:t xml:space="preserve">Difference between expressed DRX and MUSIM gap solutions on high level is that in DRX based </w:t>
      </w:r>
      <w:r w:rsidR="00EE28CE">
        <w:t>solutions</w:t>
      </w:r>
      <w:r w:rsidR="001827E3">
        <w:t xml:space="preserve"> UE is only allowed to indicate periodic patterns but in MUSIM </w:t>
      </w:r>
      <w:proofErr w:type="gramStart"/>
      <w:r w:rsidR="001827E3">
        <w:t>gap based</w:t>
      </w:r>
      <w:proofErr w:type="gramEnd"/>
      <w:r w:rsidR="001827E3">
        <w:t xml:space="preserve"> solution also aperiodic gaps are supported. Regardless of solution direction chosen for TDM if any, it would seem beneficial to indicate aperiodic gap patterns to the NW. DRX based solution may not solve the issue by providing appropriate DRX </w:t>
      </w:r>
      <w:proofErr w:type="gramStart"/>
      <w:r w:rsidR="001827E3">
        <w:t>pattern</w:t>
      </w:r>
      <w:proofErr w:type="gramEnd"/>
      <w:r w:rsidR="001827E3">
        <w:t xml:space="preserve"> but NW can still avoid scheduling during those aperiodic instances as indicated by the UE. </w:t>
      </w:r>
      <w:proofErr w:type="gramStart"/>
      <w:r w:rsidR="001827E3">
        <w:t>Thus</w:t>
      </w:r>
      <w:proofErr w:type="gramEnd"/>
      <w:r w:rsidR="001827E3">
        <w:t xml:space="preserve"> we propose for UE assistance information:</w:t>
      </w:r>
    </w:p>
    <w:p w14:paraId="29C1EA40" w14:textId="18CCD142" w:rsidR="001827E3" w:rsidRDefault="001827E3" w:rsidP="009202DD">
      <w:r>
        <w:rPr>
          <w:b/>
          <w:bCs/>
        </w:rPr>
        <w:t xml:space="preserve">Proposal 4: </w:t>
      </w:r>
      <w:r>
        <w:t>If UE provides UE assistance information for TDM based solution one should be also able to indicate aperiodic gap needs in addition to periodic gap needs</w:t>
      </w:r>
    </w:p>
    <w:p w14:paraId="24578B9A" w14:textId="5DE0D335" w:rsidR="001827E3" w:rsidRDefault="001827E3" w:rsidP="009202DD">
      <w:r>
        <w:lastRenderedPageBreak/>
        <w:t xml:space="preserve">As we also indicated in the email </w:t>
      </w:r>
      <w:proofErr w:type="gramStart"/>
      <w:r>
        <w:t>discussion</w:t>
      </w:r>
      <w:proofErr w:type="gramEnd"/>
      <w:r>
        <w:t xml:space="preserve"> we have preference for MUSIM gap style solution as it would decouple DRX and IDC gaps effectively and making it easy to coordinate IDC gaps and DRX. But it is not clear yet as we have not reached actual stage-3 details how many changes to current gap </w:t>
      </w:r>
      <w:r w:rsidR="00EE28CE">
        <w:t>signalling</w:t>
      </w:r>
      <w:r>
        <w:t xml:space="preserve"> defined for MUSIM would need to be changed to make it to work for IDC. </w:t>
      </w:r>
    </w:p>
    <w:p w14:paraId="5DFD426E" w14:textId="763BE24A" w:rsidR="001827E3" w:rsidRPr="009D27A0" w:rsidRDefault="009D27A0" w:rsidP="009202DD">
      <w:r>
        <w:rPr>
          <w:b/>
          <w:bCs/>
        </w:rPr>
        <w:t>Proposal 5</w:t>
      </w:r>
      <w:r w:rsidR="001827E3">
        <w:rPr>
          <w:b/>
          <w:bCs/>
        </w:rPr>
        <w:t xml:space="preserve">: </w:t>
      </w:r>
      <w:r>
        <w:rPr>
          <w:b/>
          <w:bCs/>
        </w:rPr>
        <w:t xml:space="preserve"> </w:t>
      </w:r>
      <w:r>
        <w:t>If there is time to develop TDM based IDC solution then focus on MUSIM gap style solution</w:t>
      </w:r>
    </w:p>
    <w:p w14:paraId="69B7B8E6" w14:textId="4F9E5768" w:rsidR="009339CB" w:rsidRPr="006E13D1" w:rsidRDefault="004B5E01" w:rsidP="009339CB">
      <w:pPr>
        <w:pStyle w:val="Heading1"/>
      </w:pPr>
      <w:r>
        <w:t>4</w:t>
      </w:r>
      <w:r w:rsidR="009339CB" w:rsidRPr="006E13D1">
        <w:tab/>
      </w:r>
      <w:r w:rsidR="009339CB">
        <w:t>Conclusion</w:t>
      </w:r>
    </w:p>
    <w:p w14:paraId="285BB849" w14:textId="77777777" w:rsidR="00617145" w:rsidRPr="005649A8" w:rsidRDefault="00617145" w:rsidP="00617145">
      <w:r>
        <w:rPr>
          <w:b/>
        </w:rPr>
        <w:t>Proposal 1:</w:t>
      </w:r>
      <w:r>
        <w:rPr>
          <w:b/>
          <w:bCs/>
        </w:rPr>
        <w:t xml:space="preserve"> </w:t>
      </w:r>
      <w:r>
        <w:t>First agree on details of FDM solution and only if time allows consider TDM based solutions</w:t>
      </w:r>
    </w:p>
    <w:p w14:paraId="652F9635" w14:textId="77777777" w:rsidR="00617145" w:rsidRDefault="00617145" w:rsidP="00617145">
      <w:r>
        <w:rPr>
          <w:b/>
          <w:bCs/>
        </w:rPr>
        <w:t xml:space="preserve">Proposal 2: </w:t>
      </w:r>
      <w:r>
        <w:t>Do not consider HARQ reservation style approach as TDM candidate solution</w:t>
      </w:r>
    </w:p>
    <w:p w14:paraId="0816F5A9" w14:textId="77777777" w:rsidR="00617145" w:rsidRDefault="00617145" w:rsidP="00617145">
      <w:r>
        <w:rPr>
          <w:b/>
          <w:bCs/>
        </w:rPr>
        <w:t xml:space="preserve">Proposal 3: </w:t>
      </w:r>
      <w:r>
        <w:t>Autonomous denial solution will be considered as only complementary solution to other IDC solutions (FDM/TDM)</w:t>
      </w:r>
    </w:p>
    <w:p w14:paraId="3290A14B" w14:textId="77777777" w:rsidR="00617145" w:rsidRDefault="00617145" w:rsidP="00617145">
      <w:r>
        <w:rPr>
          <w:b/>
          <w:bCs/>
        </w:rPr>
        <w:t xml:space="preserve">Proposal 4: </w:t>
      </w:r>
      <w:r>
        <w:t>If UE provides UE assistance information for TDM based solution one should be also able to indicate aperiodic gap needs in addition to periodic gap needs</w:t>
      </w:r>
    </w:p>
    <w:p w14:paraId="1B6192CF" w14:textId="77777777" w:rsidR="00617145" w:rsidRPr="009D27A0" w:rsidRDefault="00617145" w:rsidP="00617145">
      <w:r>
        <w:rPr>
          <w:b/>
          <w:bCs/>
        </w:rPr>
        <w:t xml:space="preserve">Proposal 5:  </w:t>
      </w:r>
      <w:r>
        <w:t>If there is time to develop TDM based IDC solution then focus on MUSIM gap style solution</w:t>
      </w:r>
    </w:p>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644BF" w14:textId="77777777" w:rsidR="009C107D" w:rsidRDefault="009C107D">
      <w:r>
        <w:separator/>
      </w:r>
    </w:p>
  </w:endnote>
  <w:endnote w:type="continuationSeparator" w:id="0">
    <w:p w14:paraId="07FE3916" w14:textId="77777777" w:rsidR="009C107D" w:rsidRDefault="009C107D">
      <w:r>
        <w:continuationSeparator/>
      </w:r>
    </w:p>
  </w:endnote>
  <w:endnote w:type="continuationNotice" w:id="1">
    <w:p w14:paraId="4EA323D1" w14:textId="77777777" w:rsidR="009C107D" w:rsidRDefault="009C10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341A4" w14:textId="77777777" w:rsidR="009C107D" w:rsidRDefault="009C107D">
      <w:r>
        <w:separator/>
      </w:r>
    </w:p>
  </w:footnote>
  <w:footnote w:type="continuationSeparator" w:id="0">
    <w:p w14:paraId="65CFC62B" w14:textId="77777777" w:rsidR="009C107D" w:rsidRDefault="009C107D">
      <w:r>
        <w:continuationSeparator/>
      </w:r>
    </w:p>
  </w:footnote>
  <w:footnote w:type="continuationNotice" w:id="1">
    <w:p w14:paraId="5FE63AC4" w14:textId="77777777" w:rsidR="009C107D" w:rsidRDefault="009C10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7973544"/>
    <w:multiLevelType w:val="hybridMultilevel"/>
    <w:tmpl w:val="39A83C9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2"/>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AD3"/>
    <w:rsid w:val="00016557"/>
    <w:rsid w:val="00017680"/>
    <w:rsid w:val="00023C40"/>
    <w:rsid w:val="00033397"/>
    <w:rsid w:val="00040095"/>
    <w:rsid w:val="00040C8D"/>
    <w:rsid w:val="00052854"/>
    <w:rsid w:val="00065268"/>
    <w:rsid w:val="00073C9C"/>
    <w:rsid w:val="0007595B"/>
    <w:rsid w:val="00076412"/>
    <w:rsid w:val="00080512"/>
    <w:rsid w:val="00083F87"/>
    <w:rsid w:val="00090468"/>
    <w:rsid w:val="00094568"/>
    <w:rsid w:val="00096422"/>
    <w:rsid w:val="000976CC"/>
    <w:rsid w:val="000B7BCF"/>
    <w:rsid w:val="000C522B"/>
    <w:rsid w:val="000D58AB"/>
    <w:rsid w:val="00110E25"/>
    <w:rsid w:val="00112F1A"/>
    <w:rsid w:val="0014400A"/>
    <w:rsid w:val="00145075"/>
    <w:rsid w:val="001610F3"/>
    <w:rsid w:val="001741A0"/>
    <w:rsid w:val="00175FA0"/>
    <w:rsid w:val="0018167A"/>
    <w:rsid w:val="001827E3"/>
    <w:rsid w:val="00192E92"/>
    <w:rsid w:val="00194CD0"/>
    <w:rsid w:val="001962A6"/>
    <w:rsid w:val="001A44C5"/>
    <w:rsid w:val="001B49C9"/>
    <w:rsid w:val="001C23F4"/>
    <w:rsid w:val="001C4F79"/>
    <w:rsid w:val="001D70FF"/>
    <w:rsid w:val="001E5351"/>
    <w:rsid w:val="001F168B"/>
    <w:rsid w:val="001F2A3F"/>
    <w:rsid w:val="001F7831"/>
    <w:rsid w:val="00204045"/>
    <w:rsid w:val="0020712B"/>
    <w:rsid w:val="0022606D"/>
    <w:rsid w:val="00231728"/>
    <w:rsid w:val="00233020"/>
    <w:rsid w:val="00244A05"/>
    <w:rsid w:val="00250404"/>
    <w:rsid w:val="00254863"/>
    <w:rsid w:val="00256B74"/>
    <w:rsid w:val="002610D8"/>
    <w:rsid w:val="002747EC"/>
    <w:rsid w:val="002855BF"/>
    <w:rsid w:val="002B1F8B"/>
    <w:rsid w:val="002B2988"/>
    <w:rsid w:val="002C1262"/>
    <w:rsid w:val="002F0D22"/>
    <w:rsid w:val="00311B17"/>
    <w:rsid w:val="003172DC"/>
    <w:rsid w:val="003226D6"/>
    <w:rsid w:val="00325AE3"/>
    <w:rsid w:val="00326069"/>
    <w:rsid w:val="0035462D"/>
    <w:rsid w:val="00363915"/>
    <w:rsid w:val="0036459E"/>
    <w:rsid w:val="00364B41"/>
    <w:rsid w:val="00383096"/>
    <w:rsid w:val="0039346C"/>
    <w:rsid w:val="003A41EF"/>
    <w:rsid w:val="003B40AD"/>
    <w:rsid w:val="003C4E37"/>
    <w:rsid w:val="003D470C"/>
    <w:rsid w:val="003E16BE"/>
    <w:rsid w:val="003F4E28"/>
    <w:rsid w:val="004006E8"/>
    <w:rsid w:val="00401855"/>
    <w:rsid w:val="00413A08"/>
    <w:rsid w:val="00446C3A"/>
    <w:rsid w:val="00464747"/>
    <w:rsid w:val="00465587"/>
    <w:rsid w:val="00477455"/>
    <w:rsid w:val="004960B9"/>
    <w:rsid w:val="004A1F7B"/>
    <w:rsid w:val="004B5E01"/>
    <w:rsid w:val="004C44D2"/>
    <w:rsid w:val="004D3578"/>
    <w:rsid w:val="004D380D"/>
    <w:rsid w:val="004E213A"/>
    <w:rsid w:val="004F4540"/>
    <w:rsid w:val="004F73A7"/>
    <w:rsid w:val="00503171"/>
    <w:rsid w:val="00506475"/>
    <w:rsid w:val="00506C28"/>
    <w:rsid w:val="00534DA0"/>
    <w:rsid w:val="00543E6C"/>
    <w:rsid w:val="00546746"/>
    <w:rsid w:val="005649A8"/>
    <w:rsid w:val="00565087"/>
    <w:rsid w:val="0056573F"/>
    <w:rsid w:val="00567E9D"/>
    <w:rsid w:val="00571279"/>
    <w:rsid w:val="00571568"/>
    <w:rsid w:val="0059036A"/>
    <w:rsid w:val="005A13AB"/>
    <w:rsid w:val="005A49C6"/>
    <w:rsid w:val="005B53C9"/>
    <w:rsid w:val="005B7BC6"/>
    <w:rsid w:val="005C2C00"/>
    <w:rsid w:val="005C766E"/>
    <w:rsid w:val="005C7CD5"/>
    <w:rsid w:val="005F5383"/>
    <w:rsid w:val="005F5E5B"/>
    <w:rsid w:val="00606C04"/>
    <w:rsid w:val="00611566"/>
    <w:rsid w:val="00617145"/>
    <w:rsid w:val="00637FF9"/>
    <w:rsid w:val="00642923"/>
    <w:rsid w:val="00646D99"/>
    <w:rsid w:val="00656910"/>
    <w:rsid w:val="006574C0"/>
    <w:rsid w:val="00672D81"/>
    <w:rsid w:val="00696821"/>
    <w:rsid w:val="006C66D8"/>
    <w:rsid w:val="006D1E24"/>
    <w:rsid w:val="006D35DE"/>
    <w:rsid w:val="006D413D"/>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E0D64"/>
    <w:rsid w:val="007F2E08"/>
    <w:rsid w:val="008024FA"/>
    <w:rsid w:val="008028A4"/>
    <w:rsid w:val="00813245"/>
    <w:rsid w:val="00840DE0"/>
    <w:rsid w:val="00847CD0"/>
    <w:rsid w:val="008607A8"/>
    <w:rsid w:val="0086354A"/>
    <w:rsid w:val="008768CA"/>
    <w:rsid w:val="00877EF9"/>
    <w:rsid w:val="00880559"/>
    <w:rsid w:val="0089004F"/>
    <w:rsid w:val="008B5306"/>
    <w:rsid w:val="008C2E2A"/>
    <w:rsid w:val="008C3057"/>
    <w:rsid w:val="008D2E4D"/>
    <w:rsid w:val="008D646F"/>
    <w:rsid w:val="008F396F"/>
    <w:rsid w:val="008F3DCD"/>
    <w:rsid w:val="008F71D7"/>
    <w:rsid w:val="0090271F"/>
    <w:rsid w:val="00902DB9"/>
    <w:rsid w:val="0090466A"/>
    <w:rsid w:val="009202DD"/>
    <w:rsid w:val="00921ECD"/>
    <w:rsid w:val="00923655"/>
    <w:rsid w:val="00930340"/>
    <w:rsid w:val="009339CB"/>
    <w:rsid w:val="00936071"/>
    <w:rsid w:val="009376CD"/>
    <w:rsid w:val="00940212"/>
    <w:rsid w:val="00942EC2"/>
    <w:rsid w:val="00961124"/>
    <w:rsid w:val="00961B32"/>
    <w:rsid w:val="00962509"/>
    <w:rsid w:val="00970DB3"/>
    <w:rsid w:val="00972F78"/>
    <w:rsid w:val="00974BB0"/>
    <w:rsid w:val="00975BCD"/>
    <w:rsid w:val="00987D00"/>
    <w:rsid w:val="009928A9"/>
    <w:rsid w:val="009A0AF3"/>
    <w:rsid w:val="009B07CD"/>
    <w:rsid w:val="009C107D"/>
    <w:rsid w:val="009C19E9"/>
    <w:rsid w:val="009D27A0"/>
    <w:rsid w:val="009D43A3"/>
    <w:rsid w:val="009D74A6"/>
    <w:rsid w:val="009E0E87"/>
    <w:rsid w:val="00A10F02"/>
    <w:rsid w:val="00A204CA"/>
    <w:rsid w:val="00A209D6"/>
    <w:rsid w:val="00A22738"/>
    <w:rsid w:val="00A36F5F"/>
    <w:rsid w:val="00A430EC"/>
    <w:rsid w:val="00A53724"/>
    <w:rsid w:val="00A53BA0"/>
    <w:rsid w:val="00A54B2B"/>
    <w:rsid w:val="00A6679D"/>
    <w:rsid w:val="00A703B6"/>
    <w:rsid w:val="00A82346"/>
    <w:rsid w:val="00A94532"/>
    <w:rsid w:val="00A9671C"/>
    <w:rsid w:val="00AA1553"/>
    <w:rsid w:val="00AC640F"/>
    <w:rsid w:val="00AE5216"/>
    <w:rsid w:val="00B05380"/>
    <w:rsid w:val="00B05962"/>
    <w:rsid w:val="00B15449"/>
    <w:rsid w:val="00B16C2F"/>
    <w:rsid w:val="00B27303"/>
    <w:rsid w:val="00B3636C"/>
    <w:rsid w:val="00B47FD1"/>
    <w:rsid w:val="00B516BB"/>
    <w:rsid w:val="00B63E14"/>
    <w:rsid w:val="00B7538C"/>
    <w:rsid w:val="00B8065B"/>
    <w:rsid w:val="00B84DB2"/>
    <w:rsid w:val="00BB44B0"/>
    <w:rsid w:val="00BC3555"/>
    <w:rsid w:val="00C12B51"/>
    <w:rsid w:val="00C24650"/>
    <w:rsid w:val="00C25465"/>
    <w:rsid w:val="00C33079"/>
    <w:rsid w:val="00C35FF9"/>
    <w:rsid w:val="00C43823"/>
    <w:rsid w:val="00C55A12"/>
    <w:rsid w:val="00C6553E"/>
    <w:rsid w:val="00C80F49"/>
    <w:rsid w:val="00C83A13"/>
    <w:rsid w:val="00C86F10"/>
    <w:rsid w:val="00C9068C"/>
    <w:rsid w:val="00C92967"/>
    <w:rsid w:val="00CA3D0C"/>
    <w:rsid w:val="00CA654B"/>
    <w:rsid w:val="00CB72B8"/>
    <w:rsid w:val="00CD0BA8"/>
    <w:rsid w:val="00CD4C7B"/>
    <w:rsid w:val="00CD58FE"/>
    <w:rsid w:val="00CE7E90"/>
    <w:rsid w:val="00D33BE3"/>
    <w:rsid w:val="00D3792D"/>
    <w:rsid w:val="00D55E47"/>
    <w:rsid w:val="00D62E19"/>
    <w:rsid w:val="00D67CD1"/>
    <w:rsid w:val="00D738D6"/>
    <w:rsid w:val="00D800A3"/>
    <w:rsid w:val="00D80795"/>
    <w:rsid w:val="00D82533"/>
    <w:rsid w:val="00D854BE"/>
    <w:rsid w:val="00D87E00"/>
    <w:rsid w:val="00D9134D"/>
    <w:rsid w:val="00D96D11"/>
    <w:rsid w:val="00DA7A03"/>
    <w:rsid w:val="00DB0DB8"/>
    <w:rsid w:val="00DB1818"/>
    <w:rsid w:val="00DC309B"/>
    <w:rsid w:val="00DC4DA2"/>
    <w:rsid w:val="00DC5261"/>
    <w:rsid w:val="00DE1005"/>
    <w:rsid w:val="00DE25D2"/>
    <w:rsid w:val="00DF7C20"/>
    <w:rsid w:val="00E16EAA"/>
    <w:rsid w:val="00E46C08"/>
    <w:rsid w:val="00E471CF"/>
    <w:rsid w:val="00E62835"/>
    <w:rsid w:val="00E77645"/>
    <w:rsid w:val="00E83697"/>
    <w:rsid w:val="00E859B6"/>
    <w:rsid w:val="00EA66C9"/>
    <w:rsid w:val="00EB5D32"/>
    <w:rsid w:val="00EC4A25"/>
    <w:rsid w:val="00EC4FD0"/>
    <w:rsid w:val="00EE28CE"/>
    <w:rsid w:val="00EF612C"/>
    <w:rsid w:val="00EF7E40"/>
    <w:rsid w:val="00F025A2"/>
    <w:rsid w:val="00F036E9"/>
    <w:rsid w:val="00F063B8"/>
    <w:rsid w:val="00F07388"/>
    <w:rsid w:val="00F2026E"/>
    <w:rsid w:val="00F2210A"/>
    <w:rsid w:val="00F26C28"/>
    <w:rsid w:val="00F31372"/>
    <w:rsid w:val="00F37743"/>
    <w:rsid w:val="00F51B98"/>
    <w:rsid w:val="00F54A3D"/>
    <w:rsid w:val="00F54CB0"/>
    <w:rsid w:val="00F579CD"/>
    <w:rsid w:val="00F653B8"/>
    <w:rsid w:val="00F66470"/>
    <w:rsid w:val="00F71B89"/>
    <w:rsid w:val="00F7353C"/>
    <w:rsid w:val="00F76F8F"/>
    <w:rsid w:val="00F87257"/>
    <w:rsid w:val="00F941DF"/>
    <w:rsid w:val="00FA1266"/>
    <w:rsid w:val="00FB36FA"/>
    <w:rsid w:val="00FC1192"/>
    <w:rsid w:val="00FE0813"/>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61714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qFormat/>
    <w:rsid w:val="00FE08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083F87"/>
    <w:rPr>
      <w:lang w:eastAsia="en-US"/>
    </w:rPr>
  </w:style>
  <w:style w:type="character" w:customStyle="1" w:styleId="B1Char1">
    <w:name w:val="B1 Char1"/>
    <w:link w:val="B1"/>
    <w:qFormat/>
    <w:rsid w:val="005F5E5B"/>
    <w:rPr>
      <w:lang w:eastAsia="en-US"/>
    </w:rPr>
  </w:style>
  <w:style w:type="character" w:customStyle="1" w:styleId="B2Char">
    <w:name w:val="B2 Char"/>
    <w:link w:val="B2"/>
    <w:qFormat/>
    <w:rsid w:val="005F5E5B"/>
    <w:rPr>
      <w:lang w:eastAsia="en-US"/>
    </w:rPr>
  </w:style>
  <w:style w:type="character" w:customStyle="1" w:styleId="B4Char">
    <w:name w:val="B4 Char"/>
    <w:link w:val="B4"/>
    <w:qFormat/>
    <w:rsid w:val="005F5E5B"/>
    <w:rPr>
      <w:lang w:eastAsia="en-US"/>
    </w:rPr>
  </w:style>
  <w:style w:type="character" w:customStyle="1" w:styleId="TALCar">
    <w:name w:val="TAL Car"/>
    <w:link w:val="TAL"/>
    <w:qFormat/>
    <w:rsid w:val="00930340"/>
    <w:rPr>
      <w:rFonts w:ascii="Arial" w:hAnsi="Arial"/>
      <w:sz w:val="18"/>
      <w:lang w:eastAsia="en-US"/>
    </w:rPr>
  </w:style>
  <w:style w:type="character" w:styleId="CommentReference">
    <w:name w:val="annotation reference"/>
    <w:basedOn w:val="DefaultParagraphFont"/>
    <w:rsid w:val="00C80F49"/>
    <w:rPr>
      <w:sz w:val="16"/>
      <w:szCs w:val="16"/>
    </w:rPr>
  </w:style>
  <w:style w:type="paragraph" w:styleId="CommentText">
    <w:name w:val="annotation text"/>
    <w:basedOn w:val="Normal"/>
    <w:link w:val="CommentTextChar"/>
    <w:rsid w:val="00C80F49"/>
  </w:style>
  <w:style w:type="character" w:customStyle="1" w:styleId="CommentTextChar">
    <w:name w:val="Comment Text Char"/>
    <w:basedOn w:val="DefaultParagraphFont"/>
    <w:link w:val="CommentText"/>
    <w:rsid w:val="00C80F49"/>
    <w:rPr>
      <w:lang w:eastAsia="en-US"/>
    </w:rPr>
  </w:style>
  <w:style w:type="paragraph" w:styleId="CommentSubject">
    <w:name w:val="annotation subject"/>
    <w:basedOn w:val="CommentText"/>
    <w:next w:val="CommentText"/>
    <w:link w:val="CommentSubjectChar"/>
    <w:rsid w:val="00C80F49"/>
    <w:rPr>
      <w:b/>
      <w:bCs/>
    </w:rPr>
  </w:style>
  <w:style w:type="character" w:customStyle="1" w:styleId="CommentSubjectChar">
    <w:name w:val="Comment Subject Char"/>
    <w:basedOn w:val="CommentTextChar"/>
    <w:link w:val="CommentSubject"/>
    <w:rsid w:val="00C80F49"/>
    <w:rPr>
      <w:b/>
      <w:bCs/>
      <w:lang w:eastAsia="en-US"/>
    </w:rPr>
  </w:style>
  <w:style w:type="paragraph" w:styleId="ListParagraph">
    <w:name w:val="List Paragraph"/>
    <w:basedOn w:val="Normal"/>
    <w:uiPriority w:val="34"/>
    <w:qFormat/>
    <w:rsid w:val="005649A8"/>
    <w:pPr>
      <w:spacing w:after="160" w:line="256" w:lineRule="auto"/>
      <w:ind w:left="720"/>
      <w:contextualSpacing/>
    </w:pPr>
    <w:rPr>
      <w:rFonts w:asciiTheme="minorHAnsi" w:eastAsiaTheme="minorHAnsi" w:hAnsiTheme="minorHAnsi" w:cstheme="minorBidi"/>
      <w:sz w:val="22"/>
      <w:szCs w:val="22"/>
      <w:lang w:val="fi-FI"/>
    </w:rPr>
  </w:style>
  <w:style w:type="paragraph" w:styleId="Revision">
    <w:name w:val="Revision"/>
    <w:hidden/>
    <w:uiPriority w:val="99"/>
    <w:semiHidden/>
    <w:rsid w:val="0005285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58930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2499990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34038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5AIRPNAIUNRU-859666464-12953</_dlc_DocId>
    <_dlc_DocIdUrl xmlns="71c5aaf6-e6ce-465b-b873-5148d2a4c105">
      <Url>https://nokia.sharepoint.com/sites/c5g/e2earch/_layouts/15/DocIdRedir.aspx?ID=5AIRPNAIUNRU-859666464-12953</Url>
      <Description>5AIRPNAIUNRU-859666464-12953</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purl.org/dc/elements/1.1/"/>
    <ds:schemaRef ds:uri="http://purl.org/dc/dcmitype/"/>
    <ds:schemaRef ds:uri="http://schemas.microsoft.com/office/2006/metadata/properties"/>
    <ds:schemaRef ds:uri="3b34c8f0-1ef5-4d1e-bb66-517ce7fe7356"/>
    <ds:schemaRef ds:uri="http://schemas.microsoft.com/office/2006/documentManagement/types"/>
    <ds:schemaRef ds:uri="http://schemas.microsoft.com/office/infopath/2007/PartnerControls"/>
    <ds:schemaRef ds:uri="http://www.w3.org/XML/1998/namespace"/>
    <ds:schemaRef ds:uri="71c5aaf6-e6ce-465b-b873-5148d2a4c105"/>
    <ds:schemaRef ds:uri="http://purl.org/dc/terms/"/>
    <ds:schemaRef ds:uri="http://schemas.openxmlformats.org/package/2006/metadata/core-properties"/>
    <ds:schemaRef ds:uri="83f22d2f-d16e-4be6-ad4f-29fa0b067c3c"/>
    <ds:schemaRef ds:uri="a3840f4f-04be-43d1-b2ef-6ff1382503c7"/>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A6D08029-8617-4039-9248-B948E3D96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3</Pages>
  <Words>1138</Words>
  <Characters>6089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173</cp:revision>
  <dcterms:created xsi:type="dcterms:W3CDTF">2016-08-12T13:53:00Z</dcterms:created>
  <dcterms:modified xsi:type="dcterms:W3CDTF">2022-11-04T06:38:00Z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1ced7044-1137-4958-ac46-9940901f0da8</vt:lpwstr>
  </property>
</Properties>
</file>